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F56" w:rsidRDefault="00D61E97">
      <w:pPr>
        <w:rPr>
          <w:b/>
        </w:rPr>
      </w:pPr>
      <w:r>
        <w:t>NIH Virtual Seminar 2020</w:t>
      </w:r>
      <w:r w:rsidR="00F92F56" w:rsidRPr="00F92F56">
        <w:rPr>
          <w:b/>
        </w:rPr>
        <w:t xml:space="preserve"> </w:t>
      </w:r>
    </w:p>
    <w:p w:rsidR="00C46A2F" w:rsidRDefault="00F92F56">
      <w:r w:rsidRPr="00F92F56">
        <w:rPr>
          <w:b/>
        </w:rPr>
        <w:t>Due to the many changes in federal guidance, please contact our office as soon as you identify a funding opportunity to which you are interested in applying.</w:t>
      </w:r>
      <w:r>
        <w:t xml:space="preserve">  </w:t>
      </w:r>
    </w:p>
    <w:p w:rsidR="00D61E97" w:rsidRDefault="00D61E97">
      <w:r>
        <w:t xml:space="preserve">NIH hosted a Virtual Seminar on October 27 – October 30.  NIH covered many topics such as where to find research opportunities, who to contact, what new changes will be coming and other compliance and research related items.  An important tool NIH uses to locate already funded opportunities and identify Institutes and Centers (ICs) which may provide funding is </w:t>
      </w:r>
      <w:hyperlink r:id="rId5" w:history="1">
        <w:r w:rsidRPr="00D61E97">
          <w:rPr>
            <w:rStyle w:val="Hyperlink"/>
          </w:rPr>
          <w:t>NIH Reporter</w:t>
        </w:r>
      </w:hyperlink>
      <w:r>
        <w:t>.</w:t>
      </w:r>
      <w:r w:rsidR="00C76A28">
        <w:t xml:space="preserve">  The NIH </w:t>
      </w:r>
      <w:hyperlink r:id="rId6" w:history="1">
        <w:r w:rsidR="00C76A28" w:rsidRPr="00C76A28">
          <w:rPr>
            <w:rStyle w:val="Hyperlink"/>
          </w:rPr>
          <w:t>Matchmaker</w:t>
        </w:r>
      </w:hyperlink>
      <w:r w:rsidR="00C76A28">
        <w:t xml:space="preserve"> </w:t>
      </w:r>
      <w:r>
        <w:t xml:space="preserve">tool will allow faculty to provide information on their research and view similar funded research as well as information on which </w:t>
      </w:r>
      <w:hyperlink r:id="rId7" w:history="1">
        <w:r w:rsidR="00C76A28" w:rsidRPr="00C76A28">
          <w:rPr>
            <w:rStyle w:val="Hyperlink"/>
          </w:rPr>
          <w:t xml:space="preserve">NIH </w:t>
        </w:r>
        <w:r w:rsidRPr="00C76A28">
          <w:rPr>
            <w:rStyle w:val="Hyperlink"/>
          </w:rPr>
          <w:t>IC’s</w:t>
        </w:r>
      </w:hyperlink>
      <w:r>
        <w:t xml:space="preserve"> will be a good match for their individual research.  Researchers are encourage</w:t>
      </w:r>
      <w:r w:rsidR="00091C8B">
        <w:t>d</w:t>
      </w:r>
      <w:r>
        <w:t xml:space="preserve"> to sign up for NIH’s </w:t>
      </w:r>
      <w:hyperlink r:id="rId8" w:history="1">
        <w:r w:rsidRPr="00E31786">
          <w:rPr>
            <w:rStyle w:val="Hyperlink"/>
          </w:rPr>
          <w:t>LISTSERV</w:t>
        </w:r>
      </w:hyperlink>
      <w:r>
        <w:t xml:space="preserve"> to get updated weekly announcements from NIH.</w:t>
      </w:r>
      <w:r w:rsidR="00E31786">
        <w:t xml:space="preserve">  NIH encourages Researchers to contact Program Officers early to discuss ideas and potential funding opportunities.</w:t>
      </w:r>
      <w:r w:rsidR="003437B4">
        <w:t xml:space="preserve">  </w:t>
      </w:r>
      <w:r w:rsidR="0021032F">
        <w:t xml:space="preserve">NIH funding opportunities are available on the NIH </w:t>
      </w:r>
      <w:hyperlink r:id="rId9" w:anchor="/" w:history="1">
        <w:r w:rsidR="0021032F" w:rsidRPr="0021032F">
          <w:rPr>
            <w:rStyle w:val="Hyperlink"/>
          </w:rPr>
          <w:t>website</w:t>
        </w:r>
      </w:hyperlink>
      <w:r w:rsidR="0021032F">
        <w:t>.</w:t>
      </w:r>
      <w:r w:rsidR="00470DA0">
        <w:t xml:space="preserve">  Please note that NIH has changed the </w:t>
      </w:r>
      <w:hyperlink r:id="rId10" w:history="1">
        <w:r w:rsidR="00470DA0" w:rsidRPr="00470DA0">
          <w:rPr>
            <w:rStyle w:val="Hyperlink"/>
          </w:rPr>
          <w:t>R15</w:t>
        </w:r>
      </w:hyperlink>
      <w:r w:rsidR="00470DA0">
        <w:t xml:space="preserve"> requirements.</w:t>
      </w:r>
      <w:r w:rsidR="004F4011">
        <w:t xml:space="preserve">  NIH also list the </w:t>
      </w:r>
      <w:hyperlink r:id="rId11" w:history="1">
        <w:r w:rsidR="004F4011" w:rsidRPr="004F4011">
          <w:rPr>
            <w:rStyle w:val="Hyperlink"/>
          </w:rPr>
          <w:t>standard due dates</w:t>
        </w:r>
      </w:hyperlink>
      <w:r w:rsidR="004F4011">
        <w:t xml:space="preserve"> for parent announcements.  Please make sure </w:t>
      </w:r>
      <w:proofErr w:type="gramStart"/>
      <w:r w:rsidR="004F4011">
        <w:t>to always check</w:t>
      </w:r>
      <w:proofErr w:type="gramEnd"/>
      <w:r w:rsidR="004F4011">
        <w:t xml:space="preserve"> the </w:t>
      </w:r>
      <w:hyperlink r:id="rId12" w:history="1">
        <w:r w:rsidR="004F4011" w:rsidRPr="004F4011">
          <w:rPr>
            <w:rStyle w:val="Hyperlink"/>
          </w:rPr>
          <w:t>Funding Opportunity Announcements</w:t>
        </w:r>
      </w:hyperlink>
      <w:bookmarkStart w:id="0" w:name="_GoBack"/>
      <w:bookmarkEnd w:id="0"/>
      <w:r w:rsidR="004F4011">
        <w:t>.</w:t>
      </w:r>
    </w:p>
    <w:p w:rsidR="00091C8B" w:rsidRPr="00280CC8" w:rsidRDefault="00091C8B">
      <w:pPr>
        <w:rPr>
          <w:rFonts w:cstheme="minorHAnsi"/>
        </w:rPr>
      </w:pPr>
      <w:r>
        <w:t xml:space="preserve">The NIH seminar focused on changes that the federal government and NIH has instituted </w:t>
      </w:r>
      <w:r w:rsidR="00280CC8">
        <w:t xml:space="preserve">or </w:t>
      </w:r>
      <w:proofErr w:type="gramStart"/>
      <w:r w:rsidR="00280CC8">
        <w:t>will be instituted</w:t>
      </w:r>
      <w:proofErr w:type="gramEnd"/>
      <w:r w:rsidR="00280CC8">
        <w:t xml:space="preserve"> in November 2020 and effective January 2021.  NIH will be making changes to the </w:t>
      </w:r>
      <w:proofErr w:type="spellStart"/>
      <w:r w:rsidR="00280CC8">
        <w:t>Biosketch</w:t>
      </w:r>
      <w:proofErr w:type="spellEnd"/>
      <w:r w:rsidR="00280CC8">
        <w:t xml:space="preserve"> and </w:t>
      </w:r>
      <w:r w:rsidR="00280CC8" w:rsidRPr="00280CC8">
        <w:rPr>
          <w:rFonts w:cstheme="minorHAnsi"/>
        </w:rPr>
        <w:t xml:space="preserve">Other </w:t>
      </w:r>
      <w:proofErr w:type="gramStart"/>
      <w:r w:rsidR="00280CC8" w:rsidRPr="00280CC8">
        <w:rPr>
          <w:rFonts w:cstheme="minorHAnsi"/>
        </w:rPr>
        <w:t>Support which</w:t>
      </w:r>
      <w:proofErr w:type="gramEnd"/>
      <w:r w:rsidR="00280CC8" w:rsidRPr="00280CC8">
        <w:rPr>
          <w:rFonts w:cstheme="minorHAnsi"/>
        </w:rPr>
        <w:t xml:space="preserve"> will be available in November.  Other key points NIH focused on are as follows:</w:t>
      </w:r>
    </w:p>
    <w:p w:rsidR="00280CC8" w:rsidRPr="00280CC8" w:rsidRDefault="00280CC8" w:rsidP="00280CC8">
      <w:pPr>
        <w:pStyle w:val="ListParagraph"/>
        <w:numPr>
          <w:ilvl w:val="0"/>
          <w:numId w:val="1"/>
        </w:numPr>
        <w:rPr>
          <w:rFonts w:asciiTheme="minorHAnsi" w:hAnsiTheme="minorHAnsi" w:cstheme="minorHAnsi"/>
        </w:rPr>
      </w:pPr>
      <w:r w:rsidRPr="00280CC8">
        <w:rPr>
          <w:rFonts w:asciiTheme="minorHAnsi" w:hAnsiTheme="minorHAnsi" w:cstheme="minorHAnsi"/>
        </w:rPr>
        <w:t>All grant activity must be transparent.  Documentation is required for all activity</w:t>
      </w:r>
      <w:r>
        <w:rPr>
          <w:rFonts w:asciiTheme="minorHAnsi" w:hAnsiTheme="minorHAnsi" w:cstheme="minorHAnsi"/>
        </w:rPr>
        <w:t>.</w:t>
      </w:r>
    </w:p>
    <w:p w:rsidR="00280CC8" w:rsidRPr="00280CC8" w:rsidRDefault="00280CC8" w:rsidP="00280CC8">
      <w:pPr>
        <w:pStyle w:val="ListParagraph"/>
        <w:numPr>
          <w:ilvl w:val="0"/>
          <w:numId w:val="1"/>
        </w:numPr>
        <w:rPr>
          <w:rFonts w:asciiTheme="minorHAnsi" w:hAnsiTheme="minorHAnsi" w:cstheme="minorHAnsi"/>
        </w:rPr>
      </w:pPr>
      <w:r w:rsidRPr="00280CC8">
        <w:rPr>
          <w:rFonts w:asciiTheme="minorHAnsi" w:hAnsiTheme="minorHAnsi" w:cstheme="minorHAnsi"/>
        </w:rPr>
        <w:t xml:space="preserve">Due to JCORE guidance, details such as gifts received, data format, data collections, in-kind contributions </w:t>
      </w:r>
      <w:proofErr w:type="gramStart"/>
      <w:r w:rsidRPr="00280CC8">
        <w:rPr>
          <w:rFonts w:asciiTheme="minorHAnsi" w:hAnsiTheme="minorHAnsi" w:cstheme="minorHAnsi"/>
        </w:rPr>
        <w:t xml:space="preserve">must all be </w:t>
      </w:r>
      <w:hyperlink r:id="rId13" w:history="1">
        <w:r w:rsidRPr="00280CC8">
          <w:rPr>
            <w:rStyle w:val="Hyperlink"/>
            <w:rFonts w:asciiTheme="minorHAnsi" w:hAnsiTheme="minorHAnsi" w:cstheme="minorHAnsi"/>
          </w:rPr>
          <w:t>disclosed</w:t>
        </w:r>
        <w:proofErr w:type="gramEnd"/>
      </w:hyperlink>
      <w:r>
        <w:rPr>
          <w:rFonts w:asciiTheme="minorHAnsi" w:hAnsiTheme="minorHAnsi" w:cstheme="minorHAnsi"/>
        </w:rPr>
        <w:t xml:space="preserve"> to NIH. </w:t>
      </w:r>
      <w:hyperlink r:id="rId14" w:history="1">
        <w:r w:rsidRPr="00280CC8">
          <w:rPr>
            <w:rStyle w:val="Hyperlink"/>
            <w:rFonts w:asciiTheme="minorHAnsi" w:hAnsiTheme="minorHAnsi" w:cstheme="minorHAnsi"/>
          </w:rPr>
          <w:t>JCORE</w:t>
        </w:r>
      </w:hyperlink>
      <w:r>
        <w:rPr>
          <w:rFonts w:asciiTheme="minorHAnsi" w:hAnsiTheme="minorHAnsi" w:cstheme="minorHAnsi"/>
        </w:rPr>
        <w:t xml:space="preserve"> focuses on foreign influence in research</w:t>
      </w:r>
      <w:r w:rsidR="00C76A28">
        <w:rPr>
          <w:rFonts w:asciiTheme="minorHAnsi" w:hAnsiTheme="minorHAnsi" w:cstheme="minorHAnsi"/>
        </w:rPr>
        <w:t xml:space="preserve"> based on the </w:t>
      </w:r>
      <w:hyperlink r:id="rId15" w:history="1">
        <w:r w:rsidR="00C76A28" w:rsidRPr="00C76A28">
          <w:rPr>
            <w:rStyle w:val="Hyperlink"/>
            <w:rFonts w:asciiTheme="minorHAnsi" w:hAnsiTheme="minorHAnsi" w:cstheme="minorHAnsi"/>
          </w:rPr>
          <w:t>JASON</w:t>
        </w:r>
      </w:hyperlink>
      <w:r w:rsidR="00C76A28">
        <w:rPr>
          <w:rFonts w:asciiTheme="minorHAnsi" w:hAnsiTheme="minorHAnsi" w:cstheme="minorHAnsi"/>
        </w:rPr>
        <w:t xml:space="preserve"> </w:t>
      </w:r>
      <w:proofErr w:type="gramStart"/>
      <w:r w:rsidR="00C76A28">
        <w:rPr>
          <w:rFonts w:asciiTheme="minorHAnsi" w:hAnsiTheme="minorHAnsi" w:cstheme="minorHAnsi"/>
        </w:rPr>
        <w:t>Report which</w:t>
      </w:r>
      <w:proofErr w:type="gramEnd"/>
      <w:r w:rsidR="00C76A28">
        <w:rPr>
          <w:rFonts w:asciiTheme="minorHAnsi" w:hAnsiTheme="minorHAnsi" w:cstheme="minorHAnsi"/>
        </w:rPr>
        <w:t xml:space="preserve"> was issued by NSF</w:t>
      </w:r>
      <w:r>
        <w:rPr>
          <w:rFonts w:asciiTheme="minorHAnsi" w:hAnsiTheme="minorHAnsi" w:cstheme="minorHAnsi"/>
        </w:rPr>
        <w:t xml:space="preserve">. </w:t>
      </w:r>
    </w:p>
    <w:p w:rsidR="00280CC8" w:rsidRPr="00280CC8" w:rsidRDefault="00280CC8" w:rsidP="00280CC8">
      <w:pPr>
        <w:pStyle w:val="ListParagraph"/>
        <w:numPr>
          <w:ilvl w:val="0"/>
          <w:numId w:val="1"/>
        </w:numPr>
        <w:rPr>
          <w:rFonts w:asciiTheme="minorHAnsi" w:hAnsiTheme="minorHAnsi" w:cstheme="minorHAnsi"/>
        </w:rPr>
      </w:pPr>
      <w:proofErr w:type="spellStart"/>
      <w:r w:rsidRPr="00280CC8">
        <w:rPr>
          <w:rFonts w:asciiTheme="minorHAnsi" w:hAnsiTheme="minorHAnsi" w:cstheme="minorHAnsi"/>
        </w:rPr>
        <w:t>Biosketches</w:t>
      </w:r>
      <w:proofErr w:type="spellEnd"/>
      <w:r w:rsidRPr="00280CC8">
        <w:rPr>
          <w:rFonts w:asciiTheme="minorHAnsi" w:hAnsiTheme="minorHAnsi" w:cstheme="minorHAnsi"/>
        </w:rPr>
        <w:t xml:space="preserve"> and Other Support – this is being streamline</w:t>
      </w:r>
      <w:r w:rsidR="00ED1628">
        <w:rPr>
          <w:rFonts w:asciiTheme="minorHAnsi" w:hAnsiTheme="minorHAnsi" w:cstheme="minorHAnsi"/>
        </w:rPr>
        <w:t>d</w:t>
      </w:r>
      <w:r w:rsidRPr="00280CC8">
        <w:rPr>
          <w:rFonts w:asciiTheme="minorHAnsi" w:hAnsiTheme="minorHAnsi" w:cstheme="minorHAnsi"/>
        </w:rPr>
        <w:t xml:space="preserve"> across all federal agencies.  NIH has worked with NSF and will be changing the guidelines and </w:t>
      </w:r>
      <w:proofErr w:type="gramStart"/>
      <w:r w:rsidRPr="00280CC8">
        <w:rPr>
          <w:rFonts w:asciiTheme="minorHAnsi" w:hAnsiTheme="minorHAnsi" w:cstheme="minorHAnsi"/>
        </w:rPr>
        <w:t>information which</w:t>
      </w:r>
      <w:proofErr w:type="gramEnd"/>
      <w:r w:rsidRPr="00280CC8">
        <w:rPr>
          <w:rFonts w:asciiTheme="minorHAnsi" w:hAnsiTheme="minorHAnsi" w:cstheme="minorHAnsi"/>
        </w:rPr>
        <w:t xml:space="preserve"> will be provided in the </w:t>
      </w:r>
      <w:proofErr w:type="spellStart"/>
      <w:r w:rsidRPr="00280CC8">
        <w:rPr>
          <w:rFonts w:asciiTheme="minorHAnsi" w:hAnsiTheme="minorHAnsi" w:cstheme="minorHAnsi"/>
        </w:rPr>
        <w:t>Biosketches</w:t>
      </w:r>
      <w:proofErr w:type="spellEnd"/>
      <w:r w:rsidRPr="00280CC8">
        <w:rPr>
          <w:rFonts w:asciiTheme="minorHAnsi" w:hAnsiTheme="minorHAnsi" w:cstheme="minorHAnsi"/>
        </w:rPr>
        <w:t xml:space="preserve"> and Other Support Pages. </w:t>
      </w:r>
    </w:p>
    <w:p w:rsidR="00280CC8" w:rsidRPr="00280CC8" w:rsidRDefault="00280CC8" w:rsidP="00280CC8">
      <w:pPr>
        <w:pStyle w:val="ListParagraph"/>
        <w:numPr>
          <w:ilvl w:val="0"/>
          <w:numId w:val="1"/>
        </w:numPr>
        <w:rPr>
          <w:rFonts w:asciiTheme="minorHAnsi" w:hAnsiTheme="minorHAnsi" w:cstheme="minorHAnsi"/>
        </w:rPr>
      </w:pPr>
      <w:proofErr w:type="spellStart"/>
      <w:r w:rsidRPr="00280CC8">
        <w:rPr>
          <w:rFonts w:asciiTheme="minorHAnsi" w:hAnsiTheme="minorHAnsi" w:cstheme="minorHAnsi"/>
        </w:rPr>
        <w:t>Biosketches</w:t>
      </w:r>
      <w:proofErr w:type="spellEnd"/>
      <w:r w:rsidRPr="00280CC8">
        <w:rPr>
          <w:rFonts w:asciiTheme="minorHAnsi" w:hAnsiTheme="minorHAnsi" w:cstheme="minorHAnsi"/>
        </w:rPr>
        <w:t>: Required for senior key personnel; all scientific appointments must be listed regardless if there is compensation;  Section D will be removed – this information will now be required in Other Support</w:t>
      </w:r>
      <w:r w:rsidR="00ED1628">
        <w:rPr>
          <w:rFonts w:asciiTheme="minorHAnsi" w:hAnsiTheme="minorHAnsi" w:cstheme="minorHAnsi"/>
        </w:rPr>
        <w:t>.</w:t>
      </w:r>
    </w:p>
    <w:p w:rsidR="00280CC8" w:rsidRPr="00F92F56" w:rsidRDefault="00280CC8" w:rsidP="00E84FFB">
      <w:pPr>
        <w:pStyle w:val="ListParagraph"/>
        <w:numPr>
          <w:ilvl w:val="0"/>
          <w:numId w:val="1"/>
        </w:numPr>
        <w:rPr>
          <w:rFonts w:asciiTheme="minorHAnsi" w:hAnsiTheme="minorHAnsi" w:cstheme="minorHAnsi"/>
        </w:rPr>
      </w:pPr>
      <w:r w:rsidRPr="00F92F56">
        <w:rPr>
          <w:rFonts w:asciiTheme="minorHAnsi" w:hAnsiTheme="minorHAnsi" w:cstheme="minorHAnsi"/>
        </w:rPr>
        <w:t xml:space="preserve">Other Support: will still be part of JIT; gifts and in-kind support such as space, equipment, supplies, resources, etc., must be included; start-up funds is not required if it is from QC but must be reported if the funds are external; foreign resources must be included; any and all foreign activities must be included.  </w:t>
      </w:r>
      <w:proofErr w:type="gramStart"/>
      <w:r w:rsidRPr="00F92F56">
        <w:rPr>
          <w:rFonts w:asciiTheme="minorHAnsi" w:hAnsiTheme="minorHAnsi" w:cstheme="minorHAnsi"/>
        </w:rPr>
        <w:t>In-kind support will not be viewed by NIH as cos</w:t>
      </w:r>
      <w:r w:rsidR="00ED1628" w:rsidRPr="00F92F56">
        <w:rPr>
          <w:rFonts w:asciiTheme="minorHAnsi" w:hAnsiTheme="minorHAnsi" w:cstheme="minorHAnsi"/>
        </w:rPr>
        <w:t>t</w:t>
      </w:r>
      <w:proofErr w:type="gramEnd"/>
      <w:r w:rsidR="00ED1628" w:rsidRPr="00F92F56">
        <w:rPr>
          <w:rFonts w:asciiTheme="minorHAnsi" w:hAnsiTheme="minorHAnsi" w:cstheme="minorHAnsi"/>
        </w:rPr>
        <w:t>. Disclosure of foreign activities is required for collaborations, co-authorship, facilities, and finances.</w:t>
      </w:r>
      <w:r w:rsidR="00F92F56" w:rsidRPr="00F92F56">
        <w:rPr>
          <w:rFonts w:asciiTheme="minorHAnsi" w:hAnsiTheme="minorHAnsi" w:cstheme="minorHAnsi"/>
        </w:rPr>
        <w:t xml:space="preserve">  </w:t>
      </w:r>
      <w:r w:rsidRPr="00F92F56">
        <w:rPr>
          <w:rFonts w:asciiTheme="minorHAnsi" w:hAnsiTheme="minorHAnsi" w:cstheme="minorHAnsi"/>
        </w:rPr>
        <w:t xml:space="preserve">Funds will need to </w:t>
      </w:r>
      <w:proofErr w:type="gramStart"/>
      <w:r w:rsidRPr="00F92F56">
        <w:rPr>
          <w:rFonts w:asciiTheme="minorHAnsi" w:hAnsiTheme="minorHAnsi" w:cstheme="minorHAnsi"/>
        </w:rPr>
        <w:t>be reported</w:t>
      </w:r>
      <w:proofErr w:type="gramEnd"/>
      <w:r w:rsidRPr="00F92F56">
        <w:rPr>
          <w:rFonts w:asciiTheme="minorHAnsi" w:hAnsiTheme="minorHAnsi" w:cstheme="minorHAnsi"/>
        </w:rPr>
        <w:t xml:space="preserve"> for each year on the form – total direct and indirect costs including budget year.</w:t>
      </w:r>
    </w:p>
    <w:p w:rsidR="00F23FBD" w:rsidRPr="00F23FBD" w:rsidRDefault="00280CC8" w:rsidP="004030CF">
      <w:pPr>
        <w:pStyle w:val="ListParagraph"/>
        <w:numPr>
          <w:ilvl w:val="0"/>
          <w:numId w:val="1"/>
        </w:numPr>
        <w:rPr>
          <w:rFonts w:asciiTheme="minorHAnsi" w:hAnsiTheme="minorHAnsi" w:cstheme="minorHAnsi"/>
        </w:rPr>
      </w:pPr>
      <w:r w:rsidRPr="00F23FBD">
        <w:rPr>
          <w:rFonts w:asciiTheme="minorHAnsi" w:hAnsiTheme="minorHAnsi" w:cstheme="minorHAnsi"/>
        </w:rPr>
        <w:t xml:space="preserve">New forms and instructions </w:t>
      </w:r>
      <w:proofErr w:type="gramStart"/>
      <w:r w:rsidRPr="00F23FBD">
        <w:rPr>
          <w:rFonts w:asciiTheme="minorHAnsi" w:hAnsiTheme="minorHAnsi" w:cstheme="minorHAnsi"/>
        </w:rPr>
        <w:t>will be released</w:t>
      </w:r>
      <w:proofErr w:type="gramEnd"/>
      <w:r w:rsidRPr="00F23FBD">
        <w:rPr>
          <w:rFonts w:asciiTheme="minorHAnsi" w:hAnsiTheme="minorHAnsi" w:cstheme="minorHAnsi"/>
        </w:rPr>
        <w:t xml:space="preserve"> in November for Other Support and </w:t>
      </w:r>
      <w:proofErr w:type="spellStart"/>
      <w:r w:rsidRPr="00F23FBD">
        <w:rPr>
          <w:rFonts w:asciiTheme="minorHAnsi" w:hAnsiTheme="minorHAnsi" w:cstheme="minorHAnsi"/>
        </w:rPr>
        <w:t>Biosketch</w:t>
      </w:r>
      <w:proofErr w:type="spellEnd"/>
      <w:r w:rsidR="00ED1628" w:rsidRPr="00F23FBD">
        <w:rPr>
          <w:rFonts w:asciiTheme="minorHAnsi" w:hAnsiTheme="minorHAnsi" w:cstheme="minorHAnsi"/>
        </w:rPr>
        <w:t>.</w:t>
      </w:r>
      <w:r w:rsidR="00F23FBD" w:rsidRPr="00F23FBD">
        <w:rPr>
          <w:rFonts w:asciiTheme="minorHAnsi" w:hAnsiTheme="minorHAnsi" w:cstheme="minorHAnsi"/>
        </w:rPr>
        <w:t xml:space="preserve">  New forms effective January 2021.  New </w:t>
      </w:r>
      <w:hyperlink r:id="rId16" w:history="1">
        <w:r w:rsidR="00F23FBD" w:rsidRPr="00F23FBD">
          <w:rPr>
            <w:rStyle w:val="Hyperlink"/>
            <w:rFonts w:asciiTheme="minorHAnsi" w:hAnsiTheme="minorHAnsi" w:cstheme="minorHAnsi"/>
          </w:rPr>
          <w:t>NIH Changes</w:t>
        </w:r>
      </w:hyperlink>
      <w:r w:rsidR="00F23FBD" w:rsidRPr="00F23FBD">
        <w:rPr>
          <w:rFonts w:asciiTheme="minorHAnsi" w:hAnsiTheme="minorHAnsi" w:cstheme="minorHAnsi"/>
        </w:rPr>
        <w:t xml:space="preserve"> are in effect as of November 12, 2020.  Two have been in effect since August 2020: Telecommunications is working abroad or being </w:t>
      </w:r>
      <w:proofErr w:type="gramStart"/>
      <w:r w:rsidR="00F23FBD" w:rsidRPr="00F23FBD">
        <w:rPr>
          <w:rFonts w:asciiTheme="minorHAnsi" w:hAnsiTheme="minorHAnsi" w:cstheme="minorHAnsi"/>
        </w:rPr>
        <w:t>in a foreign nations</w:t>
      </w:r>
      <w:proofErr w:type="gramEnd"/>
      <w:r w:rsidR="00F23FBD" w:rsidRPr="00F23FBD">
        <w:rPr>
          <w:rFonts w:asciiTheme="minorHAnsi" w:hAnsiTheme="minorHAnsi" w:cstheme="minorHAnsi"/>
        </w:rPr>
        <w:t xml:space="preserve">; and Terminations is to strengthen the ability of federal agencies that no longer meets the program goals and objectives of the sponsor to be terminated.  The awards </w:t>
      </w:r>
      <w:proofErr w:type="gramStart"/>
      <w:r w:rsidR="00F23FBD" w:rsidRPr="00F23FBD">
        <w:rPr>
          <w:rFonts w:asciiTheme="minorHAnsi" w:hAnsiTheme="minorHAnsi" w:cstheme="minorHAnsi"/>
        </w:rPr>
        <w:t xml:space="preserve">can be </w:t>
      </w:r>
      <w:hyperlink r:id="rId17" w:history="1">
        <w:r w:rsidR="00F23FBD" w:rsidRPr="00F23FBD">
          <w:rPr>
            <w:rStyle w:val="Hyperlink"/>
            <w:rFonts w:asciiTheme="minorHAnsi" w:hAnsiTheme="minorHAnsi" w:cstheme="minorHAnsi"/>
          </w:rPr>
          <w:t>terminated</w:t>
        </w:r>
        <w:proofErr w:type="gramEnd"/>
      </w:hyperlink>
      <w:r w:rsidR="00F23FBD" w:rsidRPr="00F23FBD">
        <w:rPr>
          <w:rFonts w:asciiTheme="minorHAnsi" w:hAnsiTheme="minorHAnsi" w:cstheme="minorHAnsi"/>
        </w:rPr>
        <w:t xml:space="preserve"> in whole or in part; is deemed no longer effective to NIH or other federal agency; and no longer meets agency goals.</w:t>
      </w:r>
    </w:p>
    <w:p w:rsidR="00F23FBD" w:rsidRPr="00280CC8" w:rsidRDefault="00F23FBD" w:rsidP="00F23FBD">
      <w:pPr>
        <w:pStyle w:val="ListParagraph"/>
        <w:numPr>
          <w:ilvl w:val="0"/>
          <w:numId w:val="1"/>
        </w:numPr>
        <w:rPr>
          <w:rFonts w:asciiTheme="minorHAnsi" w:hAnsiTheme="minorHAnsi" w:cstheme="minorHAnsi"/>
        </w:rPr>
      </w:pPr>
      <w:r w:rsidRPr="00280CC8">
        <w:rPr>
          <w:rFonts w:asciiTheme="minorHAnsi" w:hAnsiTheme="minorHAnsi" w:cstheme="minorHAnsi"/>
        </w:rPr>
        <w:t xml:space="preserve">New NIH </w:t>
      </w:r>
      <w:hyperlink r:id="rId18" w:history="1">
        <w:r w:rsidRPr="00ED1628">
          <w:rPr>
            <w:rStyle w:val="Hyperlink"/>
            <w:rFonts w:asciiTheme="minorHAnsi" w:hAnsiTheme="minorHAnsi" w:cstheme="minorHAnsi"/>
          </w:rPr>
          <w:t>Grant Policy Statement</w:t>
        </w:r>
      </w:hyperlink>
      <w:r w:rsidRPr="00280CC8">
        <w:rPr>
          <w:rFonts w:asciiTheme="minorHAnsi" w:hAnsiTheme="minorHAnsi" w:cstheme="minorHAnsi"/>
        </w:rPr>
        <w:t xml:space="preserve"> (GPS) </w:t>
      </w:r>
      <w:proofErr w:type="gramStart"/>
      <w:r w:rsidRPr="00280CC8">
        <w:rPr>
          <w:rFonts w:asciiTheme="minorHAnsi" w:hAnsiTheme="minorHAnsi" w:cstheme="minorHAnsi"/>
        </w:rPr>
        <w:t>will be released</w:t>
      </w:r>
      <w:proofErr w:type="gramEnd"/>
      <w:r w:rsidRPr="00280CC8">
        <w:rPr>
          <w:rFonts w:asciiTheme="minorHAnsi" w:hAnsiTheme="minorHAnsi" w:cstheme="minorHAnsi"/>
        </w:rPr>
        <w:t xml:space="preserve"> in November 2020</w:t>
      </w:r>
      <w:r>
        <w:rPr>
          <w:rFonts w:asciiTheme="minorHAnsi" w:hAnsiTheme="minorHAnsi" w:cstheme="minorHAnsi"/>
        </w:rPr>
        <w:t xml:space="preserve">.  </w:t>
      </w:r>
    </w:p>
    <w:p w:rsidR="00280CC8" w:rsidRPr="00280CC8" w:rsidRDefault="004F4011" w:rsidP="00280CC8">
      <w:pPr>
        <w:pStyle w:val="ListParagraph"/>
        <w:numPr>
          <w:ilvl w:val="0"/>
          <w:numId w:val="1"/>
        </w:numPr>
        <w:rPr>
          <w:rFonts w:asciiTheme="minorHAnsi" w:hAnsiTheme="minorHAnsi" w:cstheme="minorHAnsi"/>
        </w:rPr>
      </w:pPr>
      <w:hyperlink r:id="rId19" w:history="1">
        <w:proofErr w:type="spellStart"/>
        <w:r w:rsidR="00ED1628" w:rsidRPr="00ED1628">
          <w:rPr>
            <w:rStyle w:val="Hyperlink"/>
            <w:rFonts w:asciiTheme="minorHAnsi" w:hAnsiTheme="minorHAnsi" w:cstheme="minorHAnsi"/>
          </w:rPr>
          <w:t>SciEncv</w:t>
        </w:r>
        <w:proofErr w:type="spellEnd"/>
      </w:hyperlink>
      <w:r w:rsidR="00280CC8" w:rsidRPr="00280CC8">
        <w:rPr>
          <w:rFonts w:asciiTheme="minorHAnsi" w:hAnsiTheme="minorHAnsi" w:cstheme="minorHAnsi"/>
        </w:rPr>
        <w:t xml:space="preserve"> is the preferred method to generate </w:t>
      </w:r>
      <w:proofErr w:type="spellStart"/>
      <w:r w:rsidR="00280CC8" w:rsidRPr="00280CC8">
        <w:rPr>
          <w:rFonts w:asciiTheme="minorHAnsi" w:hAnsiTheme="minorHAnsi" w:cstheme="minorHAnsi"/>
        </w:rPr>
        <w:t>Biosketch</w:t>
      </w:r>
      <w:proofErr w:type="spellEnd"/>
      <w:r w:rsidR="00280CC8" w:rsidRPr="00280CC8">
        <w:rPr>
          <w:rFonts w:asciiTheme="minorHAnsi" w:hAnsiTheme="minorHAnsi" w:cstheme="minorHAnsi"/>
        </w:rPr>
        <w:t xml:space="preserve"> – NSF is also using this</w:t>
      </w:r>
      <w:r w:rsidR="00ED1628">
        <w:rPr>
          <w:rFonts w:asciiTheme="minorHAnsi" w:hAnsiTheme="minorHAnsi" w:cstheme="minorHAnsi"/>
        </w:rPr>
        <w:t>.</w:t>
      </w:r>
    </w:p>
    <w:p w:rsidR="00280CC8" w:rsidRPr="00ED1628" w:rsidRDefault="004F4011" w:rsidP="00DC6CEE">
      <w:pPr>
        <w:pStyle w:val="ListParagraph"/>
        <w:numPr>
          <w:ilvl w:val="0"/>
          <w:numId w:val="1"/>
        </w:numPr>
        <w:rPr>
          <w:rFonts w:asciiTheme="minorHAnsi" w:hAnsiTheme="minorHAnsi" w:cstheme="minorHAnsi"/>
        </w:rPr>
      </w:pPr>
      <w:hyperlink r:id="rId20" w:history="1">
        <w:r w:rsidR="00280CC8" w:rsidRPr="00ED1628">
          <w:rPr>
            <w:rStyle w:val="Hyperlink"/>
            <w:rFonts w:asciiTheme="minorHAnsi" w:hAnsiTheme="minorHAnsi" w:cstheme="minorHAnsi"/>
          </w:rPr>
          <w:t>Tele</w:t>
        </w:r>
        <w:r w:rsidR="00ED1628" w:rsidRPr="00ED1628">
          <w:rPr>
            <w:rStyle w:val="Hyperlink"/>
            <w:rFonts w:asciiTheme="minorHAnsi" w:hAnsiTheme="minorHAnsi" w:cstheme="minorHAnsi"/>
          </w:rPr>
          <w:t>communications</w:t>
        </w:r>
      </w:hyperlink>
      <w:r w:rsidR="00280CC8" w:rsidRPr="00ED1628">
        <w:rPr>
          <w:rFonts w:asciiTheme="minorHAnsi" w:hAnsiTheme="minorHAnsi" w:cstheme="minorHAnsi"/>
        </w:rPr>
        <w:t xml:space="preserve"> from or in a foreign country must be disclosed as it could implicate the future of your grant</w:t>
      </w:r>
      <w:r w:rsidR="00ED1628" w:rsidRPr="00ED1628">
        <w:rPr>
          <w:rFonts w:asciiTheme="minorHAnsi" w:hAnsiTheme="minorHAnsi" w:cstheme="minorHAnsi"/>
        </w:rPr>
        <w:t xml:space="preserve">.  </w:t>
      </w:r>
      <w:r w:rsidR="00280CC8" w:rsidRPr="00ED1628">
        <w:rPr>
          <w:rFonts w:asciiTheme="minorHAnsi" w:hAnsiTheme="minorHAnsi" w:cstheme="minorHAnsi"/>
        </w:rPr>
        <w:t xml:space="preserve">This originated from Uniform Guidance issued by </w:t>
      </w:r>
      <w:hyperlink r:id="rId21" w:history="1">
        <w:r w:rsidR="00280CC8" w:rsidRPr="00ED1628">
          <w:rPr>
            <w:rStyle w:val="Hyperlink"/>
            <w:rFonts w:asciiTheme="minorHAnsi" w:hAnsiTheme="minorHAnsi" w:cstheme="minorHAnsi"/>
          </w:rPr>
          <w:t>OMB Code CFR 200</w:t>
        </w:r>
        <w:r w:rsidR="00ED1628" w:rsidRPr="00ED1628">
          <w:rPr>
            <w:rStyle w:val="Hyperlink"/>
            <w:rFonts w:asciiTheme="minorHAnsi" w:hAnsiTheme="minorHAnsi" w:cstheme="minorHAnsi"/>
          </w:rPr>
          <w:t>.216</w:t>
        </w:r>
      </w:hyperlink>
      <w:r w:rsidR="00ED1628" w:rsidRPr="00ED1628">
        <w:rPr>
          <w:rFonts w:asciiTheme="minorHAnsi" w:hAnsiTheme="minorHAnsi" w:cstheme="minorHAnsi"/>
        </w:rPr>
        <w:t xml:space="preserve">.  </w:t>
      </w:r>
      <w:r w:rsidR="00ED1628">
        <w:rPr>
          <w:rFonts w:asciiTheme="minorHAnsi" w:hAnsiTheme="minorHAnsi" w:cstheme="minorHAnsi"/>
        </w:rPr>
        <w:t>A</w:t>
      </w:r>
      <w:r w:rsidR="00280CC8" w:rsidRPr="00ED1628">
        <w:rPr>
          <w:rFonts w:asciiTheme="minorHAnsi" w:hAnsiTheme="minorHAnsi" w:cstheme="minorHAnsi"/>
        </w:rPr>
        <w:t>pplies to all federal agencies</w:t>
      </w:r>
      <w:r w:rsidR="00ED1628">
        <w:rPr>
          <w:rFonts w:asciiTheme="minorHAnsi" w:hAnsiTheme="minorHAnsi" w:cstheme="minorHAnsi"/>
        </w:rPr>
        <w:t>.</w:t>
      </w:r>
    </w:p>
    <w:p w:rsidR="00280CC8" w:rsidRPr="00280CC8" w:rsidRDefault="00280CC8" w:rsidP="00280CC8">
      <w:pPr>
        <w:pStyle w:val="ListParagraph"/>
        <w:numPr>
          <w:ilvl w:val="0"/>
          <w:numId w:val="1"/>
        </w:numPr>
        <w:rPr>
          <w:rFonts w:asciiTheme="minorHAnsi" w:hAnsiTheme="minorHAnsi" w:cstheme="minorHAnsi"/>
        </w:rPr>
      </w:pPr>
      <w:r w:rsidRPr="00280CC8">
        <w:rPr>
          <w:rFonts w:asciiTheme="minorHAnsi" w:hAnsiTheme="minorHAnsi" w:cstheme="minorHAnsi"/>
        </w:rPr>
        <w:t xml:space="preserve">Methods of Procurement: Procurement and Hiring should be </w:t>
      </w:r>
      <w:r w:rsidR="008A4897">
        <w:rPr>
          <w:rFonts w:asciiTheme="minorHAnsi" w:hAnsiTheme="minorHAnsi" w:cstheme="minorHAnsi"/>
        </w:rPr>
        <w:t>“</w:t>
      </w:r>
      <w:hyperlink r:id="rId22" w:history="1">
        <w:r w:rsidR="008A4897" w:rsidRPr="008A4897">
          <w:rPr>
            <w:rStyle w:val="Hyperlink"/>
            <w:rFonts w:asciiTheme="minorHAnsi" w:hAnsiTheme="minorHAnsi" w:cstheme="minorHAnsi"/>
          </w:rPr>
          <w:t xml:space="preserve">Buy American and Hire </w:t>
        </w:r>
        <w:r w:rsidRPr="008A4897">
          <w:rPr>
            <w:rStyle w:val="Hyperlink"/>
            <w:rFonts w:asciiTheme="minorHAnsi" w:hAnsiTheme="minorHAnsi" w:cstheme="minorHAnsi"/>
          </w:rPr>
          <w:t>American</w:t>
        </w:r>
      </w:hyperlink>
      <w:r w:rsidR="008A4897">
        <w:rPr>
          <w:rFonts w:asciiTheme="minorHAnsi" w:hAnsiTheme="minorHAnsi" w:cstheme="minorHAnsi"/>
        </w:rPr>
        <w:t>”</w:t>
      </w:r>
      <w:r w:rsidRPr="00280CC8">
        <w:rPr>
          <w:rFonts w:asciiTheme="minorHAnsi" w:hAnsiTheme="minorHAnsi" w:cstheme="minorHAnsi"/>
        </w:rPr>
        <w:t xml:space="preserve">.  This will be in Notice of Awards and will flow down to </w:t>
      </w:r>
      <w:r w:rsidR="00ED1628">
        <w:rPr>
          <w:rFonts w:asciiTheme="minorHAnsi" w:hAnsiTheme="minorHAnsi" w:cstheme="minorHAnsi"/>
        </w:rPr>
        <w:t>Subawards.</w:t>
      </w:r>
    </w:p>
    <w:p w:rsidR="00280CC8" w:rsidRPr="00280CC8" w:rsidRDefault="004F4011" w:rsidP="00280CC8">
      <w:pPr>
        <w:pStyle w:val="ListParagraph"/>
        <w:numPr>
          <w:ilvl w:val="0"/>
          <w:numId w:val="1"/>
        </w:numPr>
        <w:rPr>
          <w:rFonts w:asciiTheme="minorHAnsi" w:hAnsiTheme="minorHAnsi" w:cstheme="minorHAnsi"/>
        </w:rPr>
      </w:pPr>
      <w:hyperlink r:id="rId23" w:history="1">
        <w:r w:rsidR="00280CC8" w:rsidRPr="00040430">
          <w:rPr>
            <w:rStyle w:val="Hyperlink"/>
            <w:rFonts w:asciiTheme="minorHAnsi" w:hAnsiTheme="minorHAnsi" w:cstheme="minorHAnsi"/>
          </w:rPr>
          <w:t>NIH Closeouts</w:t>
        </w:r>
      </w:hyperlink>
      <w:r w:rsidR="00280CC8" w:rsidRPr="00280CC8">
        <w:rPr>
          <w:rFonts w:asciiTheme="minorHAnsi" w:hAnsiTheme="minorHAnsi" w:cstheme="minorHAnsi"/>
        </w:rPr>
        <w:t xml:space="preserve"> must be timely.  NIH will have one year, changed from 270 days to closeout a grant.  Grantee Recipient of award has 120 days to </w:t>
      </w:r>
      <w:proofErr w:type="spellStart"/>
      <w:r w:rsidR="00280CC8" w:rsidRPr="00280CC8">
        <w:rPr>
          <w:rFonts w:asciiTheme="minorHAnsi" w:hAnsiTheme="minorHAnsi" w:cstheme="minorHAnsi"/>
        </w:rPr>
        <w:t>closeout</w:t>
      </w:r>
      <w:proofErr w:type="spellEnd"/>
      <w:r w:rsidR="00280CC8" w:rsidRPr="00280CC8">
        <w:rPr>
          <w:rFonts w:asciiTheme="minorHAnsi" w:hAnsiTheme="minorHAnsi" w:cstheme="minorHAnsi"/>
        </w:rPr>
        <w:t xml:space="preserve"> the grant.  This means NIH may come back a year later and request more information from grantee.</w:t>
      </w:r>
    </w:p>
    <w:p w:rsidR="00280CC8" w:rsidRPr="00280CC8" w:rsidRDefault="00280CC8" w:rsidP="00280CC8">
      <w:pPr>
        <w:pStyle w:val="ListParagraph"/>
        <w:numPr>
          <w:ilvl w:val="0"/>
          <w:numId w:val="1"/>
        </w:numPr>
        <w:rPr>
          <w:rFonts w:asciiTheme="minorHAnsi" w:hAnsiTheme="minorHAnsi" w:cstheme="minorHAnsi"/>
        </w:rPr>
      </w:pPr>
      <w:r w:rsidRPr="00280CC8">
        <w:rPr>
          <w:rFonts w:asciiTheme="minorHAnsi" w:hAnsiTheme="minorHAnsi" w:cstheme="minorHAnsi"/>
        </w:rPr>
        <w:t>New definitions will be in GPS and Uniform Guidance</w:t>
      </w:r>
    </w:p>
    <w:p w:rsidR="00280CC8" w:rsidRPr="00280CC8" w:rsidRDefault="004F4011" w:rsidP="00280CC8">
      <w:pPr>
        <w:pStyle w:val="ListParagraph"/>
        <w:numPr>
          <w:ilvl w:val="0"/>
          <w:numId w:val="1"/>
        </w:numPr>
        <w:rPr>
          <w:rFonts w:asciiTheme="minorHAnsi" w:hAnsiTheme="minorHAnsi" w:cstheme="minorHAnsi"/>
        </w:rPr>
      </w:pPr>
      <w:hyperlink r:id="rId24" w:history="1">
        <w:r w:rsidR="00280CC8" w:rsidRPr="008A4897">
          <w:rPr>
            <w:rStyle w:val="Hyperlink"/>
            <w:rFonts w:asciiTheme="minorHAnsi" w:hAnsiTheme="minorHAnsi" w:cstheme="minorHAnsi"/>
          </w:rPr>
          <w:t>RPPR</w:t>
        </w:r>
      </w:hyperlink>
      <w:r w:rsidR="00280CC8" w:rsidRPr="00280CC8">
        <w:rPr>
          <w:rFonts w:asciiTheme="minorHAnsi" w:hAnsiTheme="minorHAnsi" w:cstheme="minorHAnsi"/>
        </w:rPr>
        <w:t xml:space="preserve"> will now become more performance based.  The report must focus on the program design with clear goals and objectives.  There will be a new section for Program Planning and Design.  This will track performance of the grant.</w:t>
      </w:r>
    </w:p>
    <w:p w:rsidR="00280CC8" w:rsidRPr="00280CC8" w:rsidRDefault="004F4011" w:rsidP="00280CC8">
      <w:pPr>
        <w:pStyle w:val="ListParagraph"/>
        <w:numPr>
          <w:ilvl w:val="0"/>
          <w:numId w:val="1"/>
        </w:numPr>
        <w:rPr>
          <w:rFonts w:asciiTheme="minorHAnsi" w:hAnsiTheme="minorHAnsi" w:cstheme="minorHAnsi"/>
        </w:rPr>
      </w:pPr>
      <w:hyperlink r:id="rId25" w:history="1">
        <w:r w:rsidR="00280CC8" w:rsidRPr="008A4897">
          <w:rPr>
            <w:rStyle w:val="Hyperlink"/>
            <w:rFonts w:asciiTheme="minorHAnsi" w:hAnsiTheme="minorHAnsi" w:cstheme="minorHAnsi"/>
          </w:rPr>
          <w:t>Cost Transfers</w:t>
        </w:r>
      </w:hyperlink>
      <w:r w:rsidR="00280CC8" w:rsidRPr="00280CC8">
        <w:rPr>
          <w:rFonts w:asciiTheme="minorHAnsi" w:hAnsiTheme="minorHAnsi" w:cstheme="minorHAnsi"/>
        </w:rPr>
        <w:t xml:space="preserve"> – major audit flag and will be </w:t>
      </w:r>
      <w:proofErr w:type="gramStart"/>
      <w:r w:rsidR="00280CC8" w:rsidRPr="00280CC8">
        <w:rPr>
          <w:rFonts w:asciiTheme="minorHAnsi" w:hAnsiTheme="minorHAnsi" w:cstheme="minorHAnsi"/>
        </w:rPr>
        <w:t>monitored</w:t>
      </w:r>
      <w:proofErr w:type="gramEnd"/>
      <w:r w:rsidR="008A4897">
        <w:rPr>
          <w:rFonts w:asciiTheme="minorHAnsi" w:hAnsiTheme="minorHAnsi" w:cstheme="minorHAnsi"/>
        </w:rPr>
        <w:t xml:space="preserve"> and audited.</w:t>
      </w:r>
    </w:p>
    <w:p w:rsidR="00280CC8" w:rsidRPr="00280CC8" w:rsidRDefault="00280CC8" w:rsidP="00280CC8">
      <w:pPr>
        <w:pStyle w:val="ListParagraph"/>
        <w:numPr>
          <w:ilvl w:val="0"/>
          <w:numId w:val="1"/>
        </w:numPr>
        <w:rPr>
          <w:rFonts w:asciiTheme="minorHAnsi" w:hAnsiTheme="minorHAnsi" w:cstheme="minorHAnsi"/>
        </w:rPr>
      </w:pPr>
      <w:r w:rsidRPr="00280CC8">
        <w:rPr>
          <w:rFonts w:asciiTheme="minorHAnsi" w:hAnsiTheme="minorHAnsi" w:cstheme="minorHAnsi"/>
        </w:rPr>
        <w:t>Supplies and Entertainment</w:t>
      </w:r>
      <w:r w:rsidR="008A4897">
        <w:rPr>
          <w:rFonts w:asciiTheme="minorHAnsi" w:hAnsiTheme="minorHAnsi" w:cstheme="minorHAnsi"/>
        </w:rPr>
        <w:t xml:space="preserve"> and </w:t>
      </w:r>
      <w:hyperlink r:id="rId26" w:history="1">
        <w:r w:rsidR="008A4897" w:rsidRPr="008A4897">
          <w:rPr>
            <w:rStyle w:val="Hyperlink"/>
            <w:rFonts w:asciiTheme="minorHAnsi" w:hAnsiTheme="minorHAnsi" w:cstheme="minorHAnsi"/>
          </w:rPr>
          <w:t>allowable costs</w:t>
        </w:r>
      </w:hyperlink>
      <w:r w:rsidRPr="00280CC8">
        <w:rPr>
          <w:rFonts w:asciiTheme="minorHAnsi" w:hAnsiTheme="minorHAnsi" w:cstheme="minorHAnsi"/>
        </w:rPr>
        <w:t xml:space="preserve"> – general supplies are not allowable expenses; office supplies </w:t>
      </w:r>
      <w:proofErr w:type="gramStart"/>
      <w:r w:rsidRPr="00280CC8">
        <w:rPr>
          <w:rFonts w:asciiTheme="minorHAnsi" w:hAnsiTheme="minorHAnsi" w:cstheme="minorHAnsi"/>
        </w:rPr>
        <w:t>are not allowed</w:t>
      </w:r>
      <w:proofErr w:type="gramEnd"/>
      <w:r w:rsidRPr="00280CC8">
        <w:rPr>
          <w:rFonts w:asciiTheme="minorHAnsi" w:hAnsiTheme="minorHAnsi" w:cstheme="minorHAnsi"/>
        </w:rPr>
        <w:t xml:space="preserve">; entertainment costs such as meals are not allowed.  These expenses </w:t>
      </w:r>
      <w:proofErr w:type="gramStart"/>
      <w:r w:rsidRPr="00280CC8">
        <w:rPr>
          <w:rFonts w:asciiTheme="minorHAnsi" w:hAnsiTheme="minorHAnsi" w:cstheme="minorHAnsi"/>
        </w:rPr>
        <w:t>are not allowed</w:t>
      </w:r>
      <w:proofErr w:type="gramEnd"/>
      <w:r w:rsidRPr="00280CC8">
        <w:rPr>
          <w:rFonts w:asciiTheme="minorHAnsi" w:hAnsiTheme="minorHAnsi" w:cstheme="minorHAnsi"/>
        </w:rPr>
        <w:t xml:space="preserve"> unless it is part of the programmatic purposes of the grant and must be preapproved by NIH prior to any expenses incurred.</w:t>
      </w:r>
    </w:p>
    <w:p w:rsidR="00280CC8" w:rsidRPr="00280CC8" w:rsidRDefault="00280CC8" w:rsidP="00280CC8">
      <w:pPr>
        <w:pStyle w:val="ListParagraph"/>
        <w:numPr>
          <w:ilvl w:val="0"/>
          <w:numId w:val="1"/>
        </w:numPr>
        <w:rPr>
          <w:rFonts w:asciiTheme="minorHAnsi" w:hAnsiTheme="minorHAnsi" w:cstheme="minorHAnsi"/>
        </w:rPr>
      </w:pPr>
      <w:r w:rsidRPr="00280CC8">
        <w:rPr>
          <w:rFonts w:asciiTheme="minorHAnsi" w:hAnsiTheme="minorHAnsi" w:cstheme="minorHAnsi"/>
        </w:rPr>
        <w:t xml:space="preserve">Any administrative or clerical costs should be part of </w:t>
      </w:r>
      <w:hyperlink r:id="rId27" w:history="1">
        <w:r w:rsidRPr="008A4897">
          <w:rPr>
            <w:rStyle w:val="Hyperlink"/>
            <w:rFonts w:asciiTheme="minorHAnsi" w:hAnsiTheme="minorHAnsi" w:cstheme="minorHAnsi"/>
          </w:rPr>
          <w:t>indirect costs</w:t>
        </w:r>
      </w:hyperlink>
      <w:r w:rsidR="008A4897">
        <w:rPr>
          <w:rFonts w:asciiTheme="minorHAnsi" w:hAnsiTheme="minorHAnsi" w:cstheme="minorHAnsi"/>
        </w:rPr>
        <w:t>.</w:t>
      </w:r>
    </w:p>
    <w:p w:rsidR="00280CC8" w:rsidRPr="00280CC8" w:rsidRDefault="00280CC8" w:rsidP="00280CC8">
      <w:pPr>
        <w:pStyle w:val="ListParagraph"/>
        <w:numPr>
          <w:ilvl w:val="0"/>
          <w:numId w:val="1"/>
        </w:numPr>
        <w:rPr>
          <w:rFonts w:asciiTheme="minorHAnsi" w:hAnsiTheme="minorHAnsi" w:cstheme="minorHAnsi"/>
        </w:rPr>
      </w:pPr>
      <w:r w:rsidRPr="00280CC8">
        <w:rPr>
          <w:rFonts w:asciiTheme="minorHAnsi" w:hAnsiTheme="minorHAnsi" w:cstheme="minorHAnsi"/>
        </w:rPr>
        <w:t xml:space="preserve">Debarment: PIs/Institutions must check with </w:t>
      </w:r>
      <w:hyperlink r:id="rId28" w:history="1">
        <w:r w:rsidRPr="008A4897">
          <w:rPr>
            <w:rStyle w:val="Hyperlink"/>
            <w:rFonts w:asciiTheme="minorHAnsi" w:hAnsiTheme="minorHAnsi" w:cstheme="minorHAnsi"/>
          </w:rPr>
          <w:t>SAM.gov</w:t>
        </w:r>
      </w:hyperlink>
      <w:r w:rsidRPr="00280CC8">
        <w:rPr>
          <w:rFonts w:asciiTheme="minorHAnsi" w:hAnsiTheme="minorHAnsi" w:cstheme="minorHAnsi"/>
        </w:rPr>
        <w:t xml:space="preserve"> that people participating in the project </w:t>
      </w:r>
      <w:proofErr w:type="gramStart"/>
      <w:r w:rsidRPr="00280CC8">
        <w:rPr>
          <w:rFonts w:asciiTheme="minorHAnsi" w:hAnsiTheme="minorHAnsi" w:cstheme="minorHAnsi"/>
        </w:rPr>
        <w:t>are not debarred</w:t>
      </w:r>
      <w:proofErr w:type="gramEnd"/>
      <w:r w:rsidRPr="00280CC8">
        <w:rPr>
          <w:rFonts w:asciiTheme="minorHAnsi" w:hAnsiTheme="minorHAnsi" w:cstheme="minorHAnsi"/>
        </w:rPr>
        <w:t xml:space="preserve"> from working on federal grants.</w:t>
      </w:r>
    </w:p>
    <w:p w:rsidR="00040430" w:rsidRPr="00040430" w:rsidRDefault="00280CC8" w:rsidP="00175D92">
      <w:pPr>
        <w:pStyle w:val="ListParagraph"/>
        <w:numPr>
          <w:ilvl w:val="0"/>
          <w:numId w:val="1"/>
        </w:numPr>
        <w:rPr>
          <w:rFonts w:asciiTheme="minorHAnsi" w:hAnsiTheme="minorHAnsi" w:cstheme="minorHAnsi"/>
        </w:rPr>
      </w:pPr>
      <w:r w:rsidRPr="00040430">
        <w:rPr>
          <w:rFonts w:asciiTheme="minorHAnsi" w:hAnsiTheme="minorHAnsi" w:cstheme="minorHAnsi"/>
        </w:rPr>
        <w:t xml:space="preserve">Key Personnel </w:t>
      </w:r>
      <w:proofErr w:type="gramStart"/>
      <w:r w:rsidRPr="00040430">
        <w:rPr>
          <w:rFonts w:asciiTheme="minorHAnsi" w:hAnsiTheme="minorHAnsi" w:cstheme="minorHAnsi"/>
        </w:rPr>
        <w:t>will always be named</w:t>
      </w:r>
      <w:proofErr w:type="gramEnd"/>
      <w:r w:rsidRPr="00040430">
        <w:rPr>
          <w:rFonts w:asciiTheme="minorHAnsi" w:hAnsiTheme="minorHAnsi" w:cstheme="minorHAnsi"/>
        </w:rPr>
        <w:t xml:space="preserve"> on the Notice of Award.  Just because they </w:t>
      </w:r>
      <w:proofErr w:type="gramStart"/>
      <w:r w:rsidRPr="00040430">
        <w:rPr>
          <w:rFonts w:asciiTheme="minorHAnsi" w:hAnsiTheme="minorHAnsi" w:cstheme="minorHAnsi"/>
        </w:rPr>
        <w:t>were listed</w:t>
      </w:r>
      <w:proofErr w:type="gramEnd"/>
      <w:r w:rsidRPr="00040430">
        <w:rPr>
          <w:rFonts w:asciiTheme="minorHAnsi" w:hAnsiTheme="minorHAnsi" w:cstheme="minorHAnsi"/>
        </w:rPr>
        <w:t xml:space="preserve"> as key personnel in the proposal, if they are not in the NOA, NIH does not necessarily deem them as Key Personnel</w:t>
      </w:r>
      <w:r w:rsidR="00040430" w:rsidRPr="00040430">
        <w:rPr>
          <w:rFonts w:asciiTheme="minorHAnsi" w:hAnsiTheme="minorHAnsi" w:cstheme="minorHAnsi"/>
        </w:rPr>
        <w:t xml:space="preserve">. Key Personnel </w:t>
      </w:r>
      <w:proofErr w:type="gramStart"/>
      <w:r w:rsidR="00040430" w:rsidRPr="00040430">
        <w:rPr>
          <w:rFonts w:asciiTheme="minorHAnsi" w:hAnsiTheme="minorHAnsi" w:cstheme="minorHAnsi"/>
        </w:rPr>
        <w:t>must be named</w:t>
      </w:r>
      <w:proofErr w:type="gramEnd"/>
      <w:r w:rsidR="00040430" w:rsidRPr="00040430">
        <w:rPr>
          <w:rFonts w:asciiTheme="minorHAnsi" w:hAnsiTheme="minorHAnsi" w:cstheme="minorHAnsi"/>
        </w:rPr>
        <w:t xml:space="preserve"> in the NOA.  If there is a conflict of Key Personnel and </w:t>
      </w:r>
      <w:hyperlink r:id="rId29" w:history="1">
        <w:r w:rsidR="00040430" w:rsidRPr="00040430">
          <w:rPr>
            <w:rStyle w:val="Hyperlink"/>
            <w:rFonts w:asciiTheme="minorHAnsi" w:hAnsiTheme="minorHAnsi" w:cstheme="minorHAnsi"/>
          </w:rPr>
          <w:t>Multiple PIs</w:t>
        </w:r>
      </w:hyperlink>
      <w:r w:rsidR="00040430" w:rsidRPr="00040430">
        <w:rPr>
          <w:rFonts w:asciiTheme="minorHAnsi" w:hAnsiTheme="minorHAnsi" w:cstheme="minorHAnsi"/>
        </w:rPr>
        <w:t>: there must be a clear and concise conflict resolution plan</w:t>
      </w:r>
    </w:p>
    <w:p w:rsidR="00280CC8" w:rsidRPr="00280CC8" w:rsidRDefault="004F4011" w:rsidP="00280CC8">
      <w:pPr>
        <w:pStyle w:val="ListParagraph"/>
        <w:numPr>
          <w:ilvl w:val="0"/>
          <w:numId w:val="1"/>
        </w:numPr>
        <w:rPr>
          <w:rFonts w:asciiTheme="minorHAnsi" w:hAnsiTheme="minorHAnsi" w:cstheme="minorHAnsi"/>
        </w:rPr>
      </w:pPr>
      <w:hyperlink r:id="rId30" w:anchor="Change3" w:history="1">
        <w:r w:rsidR="00280CC8" w:rsidRPr="00040430">
          <w:rPr>
            <w:rStyle w:val="Hyperlink"/>
            <w:rFonts w:asciiTheme="minorHAnsi" w:hAnsiTheme="minorHAnsi" w:cstheme="minorHAnsi"/>
          </w:rPr>
          <w:t>Change of Recipient Organization</w:t>
        </w:r>
      </w:hyperlink>
      <w:r w:rsidR="00280CC8" w:rsidRPr="00280CC8">
        <w:rPr>
          <w:rFonts w:asciiTheme="minorHAnsi" w:hAnsiTheme="minorHAnsi" w:cstheme="minorHAnsi"/>
        </w:rPr>
        <w:t xml:space="preserve"> – always requires </w:t>
      </w:r>
      <w:hyperlink r:id="rId31" w:history="1">
        <w:r w:rsidR="00280CC8" w:rsidRPr="00040430">
          <w:rPr>
            <w:rStyle w:val="Hyperlink"/>
            <w:rFonts w:asciiTheme="minorHAnsi" w:hAnsiTheme="minorHAnsi" w:cstheme="minorHAnsi"/>
          </w:rPr>
          <w:t xml:space="preserve">NIH </w:t>
        </w:r>
        <w:r w:rsidR="00040430" w:rsidRPr="00040430">
          <w:rPr>
            <w:rStyle w:val="Hyperlink"/>
            <w:rFonts w:asciiTheme="minorHAnsi" w:hAnsiTheme="minorHAnsi" w:cstheme="minorHAnsi"/>
          </w:rPr>
          <w:t xml:space="preserve">prior </w:t>
        </w:r>
        <w:r w:rsidR="00280CC8" w:rsidRPr="00040430">
          <w:rPr>
            <w:rStyle w:val="Hyperlink"/>
            <w:rFonts w:asciiTheme="minorHAnsi" w:hAnsiTheme="minorHAnsi" w:cstheme="minorHAnsi"/>
          </w:rPr>
          <w:t>approval</w:t>
        </w:r>
      </w:hyperlink>
      <w:r w:rsidR="00280CC8" w:rsidRPr="00280CC8">
        <w:rPr>
          <w:rFonts w:asciiTheme="minorHAnsi" w:hAnsiTheme="minorHAnsi" w:cstheme="minorHAnsi"/>
        </w:rPr>
        <w:t>; may also require peer review</w:t>
      </w:r>
      <w:r w:rsidR="00040430">
        <w:rPr>
          <w:rFonts w:asciiTheme="minorHAnsi" w:hAnsiTheme="minorHAnsi" w:cstheme="minorHAnsi"/>
        </w:rPr>
        <w:t>.</w:t>
      </w:r>
    </w:p>
    <w:p w:rsidR="00280CC8" w:rsidRPr="00280CC8" w:rsidRDefault="00280CC8" w:rsidP="00280CC8">
      <w:pPr>
        <w:pStyle w:val="ListParagraph"/>
        <w:numPr>
          <w:ilvl w:val="0"/>
          <w:numId w:val="1"/>
        </w:numPr>
        <w:rPr>
          <w:rFonts w:asciiTheme="minorHAnsi" w:hAnsiTheme="minorHAnsi" w:cstheme="minorHAnsi"/>
        </w:rPr>
      </w:pPr>
      <w:r w:rsidRPr="00280CC8">
        <w:rPr>
          <w:rFonts w:asciiTheme="minorHAnsi" w:hAnsiTheme="minorHAnsi" w:cstheme="minorHAnsi"/>
        </w:rPr>
        <w:t xml:space="preserve">NIH will not fund an organization to be a conduit for another institution who is receiving the bulk of the funds; </w:t>
      </w:r>
      <w:proofErr w:type="gramStart"/>
      <w:r w:rsidRPr="00280CC8">
        <w:rPr>
          <w:rFonts w:asciiTheme="minorHAnsi" w:hAnsiTheme="minorHAnsi" w:cstheme="minorHAnsi"/>
        </w:rPr>
        <w:t>Grant award must be held by the institution conducting the substantive part of the work and directing the research</w:t>
      </w:r>
      <w:proofErr w:type="gramEnd"/>
      <w:r w:rsidR="00040430">
        <w:rPr>
          <w:rFonts w:asciiTheme="minorHAnsi" w:hAnsiTheme="minorHAnsi" w:cstheme="minorHAnsi"/>
        </w:rPr>
        <w:t>.</w:t>
      </w:r>
    </w:p>
    <w:p w:rsidR="00280CC8" w:rsidRPr="00280CC8" w:rsidRDefault="00280CC8" w:rsidP="00280CC8">
      <w:pPr>
        <w:pStyle w:val="ListParagraph"/>
        <w:numPr>
          <w:ilvl w:val="0"/>
          <w:numId w:val="1"/>
        </w:numPr>
        <w:rPr>
          <w:rFonts w:asciiTheme="minorHAnsi" w:hAnsiTheme="minorHAnsi" w:cstheme="minorHAnsi"/>
        </w:rPr>
      </w:pPr>
      <w:r w:rsidRPr="00280CC8">
        <w:rPr>
          <w:rFonts w:asciiTheme="minorHAnsi" w:hAnsiTheme="minorHAnsi" w:cstheme="minorHAnsi"/>
        </w:rPr>
        <w:t xml:space="preserve">Any change in scope of the grant requires </w:t>
      </w:r>
      <w:hyperlink r:id="rId32" w:history="1">
        <w:r w:rsidRPr="00040430">
          <w:rPr>
            <w:rStyle w:val="Hyperlink"/>
            <w:rFonts w:asciiTheme="minorHAnsi" w:hAnsiTheme="minorHAnsi" w:cstheme="minorHAnsi"/>
          </w:rPr>
          <w:t xml:space="preserve">NIH </w:t>
        </w:r>
        <w:r w:rsidR="00040430" w:rsidRPr="00040430">
          <w:rPr>
            <w:rStyle w:val="Hyperlink"/>
            <w:rFonts w:asciiTheme="minorHAnsi" w:hAnsiTheme="minorHAnsi" w:cstheme="minorHAnsi"/>
          </w:rPr>
          <w:t>prior approval</w:t>
        </w:r>
      </w:hyperlink>
      <w:r w:rsidR="00040430">
        <w:rPr>
          <w:rFonts w:asciiTheme="minorHAnsi" w:hAnsiTheme="minorHAnsi" w:cstheme="minorHAnsi"/>
        </w:rPr>
        <w:t>.</w:t>
      </w:r>
    </w:p>
    <w:p w:rsidR="00F23FBD" w:rsidRPr="00280CC8" w:rsidRDefault="00F23FBD" w:rsidP="00280CC8">
      <w:pPr>
        <w:rPr>
          <w:rFonts w:cstheme="minorHAnsi"/>
        </w:rPr>
      </w:pPr>
    </w:p>
    <w:p w:rsidR="00280CC8" w:rsidRDefault="00280CC8" w:rsidP="00280CC8">
      <w:pPr>
        <w:rPr>
          <w:rFonts w:ascii="Arial" w:hAnsi="Arial" w:cs="Arial"/>
          <w:sz w:val="24"/>
          <w:szCs w:val="24"/>
        </w:rPr>
      </w:pPr>
    </w:p>
    <w:p w:rsidR="00280CC8" w:rsidRDefault="00280CC8"/>
    <w:sectPr w:rsidR="00280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970B7"/>
    <w:multiLevelType w:val="hybridMultilevel"/>
    <w:tmpl w:val="330EFC74"/>
    <w:lvl w:ilvl="0" w:tplc="174E85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97"/>
    <w:rsid w:val="00040430"/>
    <w:rsid w:val="00091C8B"/>
    <w:rsid w:val="0021032F"/>
    <w:rsid w:val="00280CC8"/>
    <w:rsid w:val="003437B4"/>
    <w:rsid w:val="00470DA0"/>
    <w:rsid w:val="004F4011"/>
    <w:rsid w:val="008A4897"/>
    <w:rsid w:val="00A17DDA"/>
    <w:rsid w:val="00C46A2F"/>
    <w:rsid w:val="00C76A28"/>
    <w:rsid w:val="00D61E97"/>
    <w:rsid w:val="00E31786"/>
    <w:rsid w:val="00ED1628"/>
    <w:rsid w:val="00F23FBD"/>
    <w:rsid w:val="00F9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FB8E"/>
  <w15:chartTrackingRefBased/>
  <w15:docId w15:val="{1C8A0D34-20DD-4801-8531-1F99B50F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E97"/>
    <w:rPr>
      <w:color w:val="0563C1" w:themeColor="hyperlink"/>
      <w:u w:val="single"/>
    </w:rPr>
  </w:style>
  <w:style w:type="paragraph" w:styleId="ListParagraph">
    <w:name w:val="List Paragraph"/>
    <w:basedOn w:val="Normal"/>
    <w:uiPriority w:val="34"/>
    <w:qFormat/>
    <w:rsid w:val="00280CC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63764">
      <w:bodyDiv w:val="1"/>
      <w:marLeft w:val="0"/>
      <w:marRight w:val="0"/>
      <w:marTop w:val="0"/>
      <w:marBottom w:val="0"/>
      <w:divBdr>
        <w:top w:val="none" w:sz="0" w:space="0" w:color="auto"/>
        <w:left w:val="none" w:sz="0" w:space="0" w:color="auto"/>
        <w:bottom w:val="none" w:sz="0" w:space="0" w:color="auto"/>
        <w:right w:val="none" w:sz="0" w:space="0" w:color="auto"/>
      </w:divBdr>
    </w:div>
    <w:div w:id="656038134">
      <w:bodyDiv w:val="1"/>
      <w:marLeft w:val="0"/>
      <w:marRight w:val="0"/>
      <w:marTop w:val="0"/>
      <w:marBottom w:val="0"/>
      <w:divBdr>
        <w:top w:val="none" w:sz="0" w:space="0" w:color="auto"/>
        <w:left w:val="none" w:sz="0" w:space="0" w:color="auto"/>
        <w:bottom w:val="none" w:sz="0" w:space="0" w:color="auto"/>
        <w:right w:val="none" w:sz="0" w:space="0" w:color="auto"/>
      </w:divBdr>
    </w:div>
    <w:div w:id="1226180639">
      <w:bodyDiv w:val="1"/>
      <w:marLeft w:val="0"/>
      <w:marRight w:val="0"/>
      <w:marTop w:val="0"/>
      <w:marBottom w:val="0"/>
      <w:divBdr>
        <w:top w:val="none" w:sz="0" w:space="0" w:color="auto"/>
        <w:left w:val="none" w:sz="0" w:space="0" w:color="auto"/>
        <w:bottom w:val="none" w:sz="0" w:space="0" w:color="auto"/>
        <w:right w:val="none" w:sz="0" w:space="0" w:color="auto"/>
      </w:divBdr>
    </w:div>
    <w:div w:id="204204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d.od.nih.gov/documents/presentations/12132019ForeignInfluences.pdf" TargetMode="External"/><Relationship Id="rId18" Type="http://schemas.openxmlformats.org/officeDocument/2006/relationships/hyperlink" Target="https://grants.nih.gov/policy/nihgps/index.htm" TargetMode="External"/><Relationship Id="rId26" Type="http://schemas.openxmlformats.org/officeDocument/2006/relationships/hyperlink" Target="https://grants.nih.gov/grants/policy/nihgps/html5/section_7/7.9_allowability_of_costs_activities.htm" TargetMode="External"/><Relationship Id="rId3" Type="http://schemas.openxmlformats.org/officeDocument/2006/relationships/settings" Target="settings.xml"/><Relationship Id="rId21" Type="http://schemas.openxmlformats.org/officeDocument/2006/relationships/hyperlink" Target="https://www.ecfr.gov/cgi-bin/text-idx?SID=60623b20e6213558b4aa6ab7eb76b619&amp;node=2:1.1.2.2.1.3&amp;rgn=div6" TargetMode="External"/><Relationship Id="rId34" Type="http://schemas.openxmlformats.org/officeDocument/2006/relationships/theme" Target="theme/theme1.xml"/><Relationship Id="rId7" Type="http://schemas.openxmlformats.org/officeDocument/2006/relationships/hyperlink" Target="https://www.nih.gov/institutes-nih/list-nih-institutes-centers-offices" TargetMode="External"/><Relationship Id="rId12" Type="http://schemas.openxmlformats.org/officeDocument/2006/relationships/hyperlink" Target="https://grants.nih.gov/grants/how-to-apply-application-guide/prepare-to-apply-and-register/understand-funding-opportunities.htm" TargetMode="External"/><Relationship Id="rId17" Type="http://schemas.openxmlformats.org/officeDocument/2006/relationships/hyperlink" Target="https://grants.nih.gov/grants/policy/nihgps/html5/section_8/8.5.2_remedies_for_noncompliance_or_enforcement_actions-_suspension__termination__and_withholding_of_support.htm" TargetMode="External"/><Relationship Id="rId25" Type="http://schemas.openxmlformats.org/officeDocument/2006/relationships/hyperlink" Target="https://grants.nih.gov/grants/rppr/index.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rants.nih.gov/policy/notices.htm" TargetMode="External"/><Relationship Id="rId20" Type="http://schemas.openxmlformats.org/officeDocument/2006/relationships/hyperlink" Target="https://www.ecfr.gov/cgi-bin/text-idx?SID=2312b40f5181614169488e0699a25e61&amp;mc=true&amp;node=se2.1.200_1216&amp;rgn=div8" TargetMode="External"/><Relationship Id="rId29" Type="http://schemas.openxmlformats.org/officeDocument/2006/relationships/hyperlink" Target="https://grants.nih.gov/grants/multi_pi/" TargetMode="External"/><Relationship Id="rId1" Type="http://schemas.openxmlformats.org/officeDocument/2006/relationships/numbering" Target="numbering.xml"/><Relationship Id="rId6" Type="http://schemas.openxmlformats.org/officeDocument/2006/relationships/hyperlink" Target="https://projectreporter.nih.gov/reporter_matchmaker.cfm" TargetMode="External"/><Relationship Id="rId11" Type="http://schemas.openxmlformats.org/officeDocument/2006/relationships/hyperlink" Target="https://grants.nih.gov/grants/how-to-apply-application-guide/due-dates-and-submission-policies/due-dates.htm" TargetMode="External"/><Relationship Id="rId24" Type="http://schemas.openxmlformats.org/officeDocument/2006/relationships/hyperlink" Target="https://grants.nih.gov/grants/rppr/index.htm" TargetMode="External"/><Relationship Id="rId32" Type="http://schemas.openxmlformats.org/officeDocument/2006/relationships/hyperlink" Target="https://grants.nih.gov/grants/policy/nihgps/html5/section_8/8.1.2_prior_approval_requirements.htm" TargetMode="External"/><Relationship Id="rId5" Type="http://schemas.openxmlformats.org/officeDocument/2006/relationships/hyperlink" Target="https://report.nih.gov/" TargetMode="External"/><Relationship Id="rId15" Type="http://schemas.openxmlformats.org/officeDocument/2006/relationships/hyperlink" Target="https://www.nsf.gov/news/special_reports/jasonsecurity/JSR-19-2IFundamentalResearchSecurity_12062019FINAL.pdf" TargetMode="External"/><Relationship Id="rId23" Type="http://schemas.openxmlformats.org/officeDocument/2006/relationships/hyperlink" Target="https://grants.nih.gov/grants/closeout/index.htm" TargetMode="External"/><Relationship Id="rId28" Type="http://schemas.openxmlformats.org/officeDocument/2006/relationships/hyperlink" Target="https://www.sam.gov/SAM/pages/public/searchRecords/search.jsf" TargetMode="External"/><Relationship Id="rId10" Type="http://schemas.openxmlformats.org/officeDocument/2006/relationships/hyperlink" Target="https://grants.nih.gov/grants/funding/r15.htm" TargetMode="External"/><Relationship Id="rId19" Type="http://schemas.openxmlformats.org/officeDocument/2006/relationships/hyperlink" Target="https://www.ncbi.nlm.nih.gov/sciencv/" TargetMode="External"/><Relationship Id="rId31" Type="http://schemas.openxmlformats.org/officeDocument/2006/relationships/hyperlink" Target="https://grants.nih.gov/grants/policy/nihgps/html5/section_8/8.1.2_prior_approval_requirements.htm" TargetMode="External"/><Relationship Id="rId4" Type="http://schemas.openxmlformats.org/officeDocument/2006/relationships/webSettings" Target="webSettings.xml"/><Relationship Id="rId9" Type="http://schemas.openxmlformats.org/officeDocument/2006/relationships/hyperlink" Target="https://grants.nih.gov/funding/searchguide/index.html" TargetMode="External"/><Relationship Id="rId14" Type="http://schemas.openxmlformats.org/officeDocument/2006/relationships/hyperlink" Target="https://www.whitehouse.gov/wp-content/uploads/2019/07/Update-from-the-NSTC-Joint-Committee-on-Research-Environments-July-2019.pdf" TargetMode="External"/><Relationship Id="rId22" Type="http://schemas.openxmlformats.org/officeDocument/2006/relationships/hyperlink" Target="https://www.govinfo.gov/content/pkg/FR-2017-04-21/pdf/2017-08311.pdf" TargetMode="External"/><Relationship Id="rId27" Type="http://schemas.openxmlformats.org/officeDocument/2006/relationships/hyperlink" Target="https://www.govinfo.gov/content/pkg/CFR-2014-title2-vol1/pdf/CFR-2014-title2-vol1-part200-appIII.pdf" TargetMode="External"/><Relationship Id="rId30" Type="http://schemas.openxmlformats.org/officeDocument/2006/relationships/hyperlink" Target="https://grants.nih.gov/grants/policy/nihgps/HTML5/section_8/8.1.2_prior_approval_requirements.htm" TargetMode="External"/><Relationship Id="rId8" Type="http://schemas.openxmlformats.org/officeDocument/2006/relationships/hyperlink" Target="https://grants.nih.gov/grants/guide/listserv.htmdd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1380</TotalTime>
  <Pages>2</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Poline Papoulis</dc:creator>
  <cp:keywords/>
  <dc:description/>
  <cp:lastModifiedBy>Poline Papoulis</cp:lastModifiedBy>
  <cp:revision>7</cp:revision>
  <dcterms:created xsi:type="dcterms:W3CDTF">2020-10-29T12:31:00Z</dcterms:created>
  <dcterms:modified xsi:type="dcterms:W3CDTF">2020-11-02T20:07:00Z</dcterms:modified>
</cp:coreProperties>
</file>